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04554da22a94ae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Reminder to all Year 10 students that the Unit 1&amp;2 subjects are Year 11 subjects for Year 10 students who are fast-tracking.</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CAD/CAM/Robotics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Foods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Please note that, in addition to the book listed texts, students will select one of two possible texts for 2025. This selection, and parent payment for the text, will occur in Term 1.</w:t>
            </w:r>
          </w:p>
        </w:tc>
        <w:tc>
          <w:tcPr>
            <w:tcW w:w="5%" w:type="pct"/>
          </w:tcPr>
          <w:p>
            <w:r>
              <w:t/>
            </w:r>
          </w:p>
        </w:tc>
      </w:tr>
      <w:tr w:rsidR="00BF41BF" w:rsidTr="00DE168B">
        <w:tc>
          <w:tcPr>
            <w:tcW w:w="95%" w:type="pct"/>
          </w:tcPr>
          <w:p>
            <w:r>
              <w:rPr>
                <w:sz w:val="22"/>
                <w:rFonts w:ascii="Calibri"/>
              </w:rPr>
              <w:t>Please also note that, there will be a parent payment for a printed and bound compilation booklet of mentor texts during Term 1.</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STUDENT GUIDE TO WRITING BETTER SENTENCES IN THE ENGLISH CLASSROOM BOOK 2 2E (Retain from previous year)</w:t>
            </w:r>
          </w:p>
        </w:tc>
        <w:tc>
          <w:tcPr>
            <w:tcW w:w="20%" w:type="pct"/>
          </w:tcPr>
          <w:p>
            <w:pPr>
              <w:jc w:val="right"/>
            </w:pPr>
            <w:r>
              <w:rPr>
                <w:sz w:val="22"/>
                <w:rFonts w:ascii="Calibri"/>
              </w:rPr>
              <w:t>$46.95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Through Pop Culture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Elective</w:t>
            </w:r>
          </w:p>
        </w:tc>
        <w:tc>
          <w:tcPr>
            <w:tcW w:w="5%" w:type="pct"/>
          </w:tcPr>
          <w:p>
            <w:r>
              <w:t/>
            </w:r>
          </w:p>
        </w:tc>
      </w:tr>
      <w:tr w:rsidR="00BF41BF" w:rsidTr="00DE168B">
        <w:tc>
          <w:tcPr>
            <w:tcW w:w="80%" w:type="pct"/>
          </w:tcPr>
          <w:p>
            <w:r>
              <w:rPr>
                <w:sz w:val="22"/>
                <w:rFonts w:ascii="Calibri"/>
              </w:rPr>
              <w:t>KATZENSPRUNG 2 WORKBOOK (Retain from Year 9)</w:t>
            </w:r>
          </w:p>
        </w:tc>
        <w:tc>
          <w:tcPr>
            <w:tcW w:w="20%" w:type="pct"/>
          </w:tcPr>
          <w:p>
            <w:pPr>
              <w:jc w:val="right"/>
            </w:pPr>
            <w:r>
              <w:rPr>
                <w:sz w:val="22"/>
                <w:rFonts w:ascii="Calibri"/>
              </w:rPr>
              <w:t>$42.95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FILE A4 WITH ELASTIC STRAP</w:t>
            </w:r>
          </w:p>
        </w:tc>
        <w:tc>
          <w:tcPr>
            <w:tcW w:w="20%" w:type="pct"/>
          </w:tcPr>
          <w:p>
            <w:pPr>
              <w:jc w:val="right"/>
            </w:pPr>
            <w:r>
              <w:rPr>
                <w:sz w:val="22"/>
                <w:rFonts w:ascii="Calibri"/>
              </w:rPr>
              <w:t>$4.50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GRAPH BOOK 5MM</w:t>
            </w:r>
          </w:p>
        </w:tc>
        <w:tc>
          <w:tcPr>
            <w:tcW w:w="20%" w:type="pct"/>
          </w:tcPr>
          <w:p>
            <w:pPr>
              <w:jc w:val="right"/>
            </w:pPr>
            <w:r>
              <w:rPr>
                <w:sz w:val="22"/>
                <w:rFonts w:ascii="Calibri"/>
              </w:rPr>
              <w:t>$3.30</w:t>
            </w:r>
          </w:p>
        </w:tc>
      </w:tr>
      <w:tr w:rsidR="00BF41BF" w:rsidTr="00DE168B">
        <w:tc>
          <w:tcPr>
            <w:tcW w:w="95%" w:type="pct"/>
          </w:tcPr>
          <w:p>
            <w:r>
              <w:rPr>
                <w:sz w:val="22"/>
                <w:rFonts w:ascii="Calibri"/>
              </w:rPr>
              <w:t>Students can use a grid book for all Maths - 5mm preferred and without detachable pages.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Recreation - The Great Outdoors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resources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1&amp;2</w:t>
            </w:r>
          </w:p>
        </w:tc>
        <w:tc>
          <w:tcPr>
            <w:tcW w:w="5%" w:type="pct"/>
          </w:tcPr>
          <w:p>
            <w:r>
              <w:t/>
            </w:r>
          </w:p>
        </w:tc>
      </w:tr>
      <w:tr w:rsidR="00BF41BF" w:rsidTr="00DE168B">
        <w:tc>
          <w:tcPr>
            <w:tcW w:w="80%" w:type="pct"/>
          </w:tcPr>
          <w:p>
            <w:r>
              <w:rPr>
                <w:sz w:val="22"/>
                <w:rFonts w:ascii="Calibri"/>
              </w:rPr>
              <w:t>NELSON PRODUCT DESIGN &amp; TECHNOLOGIES VCE UNITS 1-4 STUDENT BOOK + MINDTAP 5E (Retain for Year 12)</w:t>
            </w:r>
          </w:p>
        </w:tc>
        <w:tc>
          <w:tcPr>
            <w:tcW w:w="20%" w:type="pct"/>
          </w:tcPr>
          <w:p>
            <w:pPr>
              <w:jc w:val="right"/>
            </w:pPr>
            <w:r>
              <w:rPr>
                <w:sz w:val="22"/>
                <w:rFonts w:ascii="Calibri"/>
              </w:rPr>
              <w:t>$87.95</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 Coaching and the Community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w:t>
            </w:r>
          </w:p>
        </w:tc>
        <w:tc>
          <w:tcPr>
            <w:tcW w:w="5%" w:type="pct"/>
          </w:tcPr>
          <w:p>
            <w:r>
              <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Wood: Product Design and Technology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1&amp;2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1&amp;2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Outdoor Recreation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materials are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07c699c0c46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04554da22a94ae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07c699c0c4644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