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af9eeb0c446471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YEAR THE MAPS CHANGED - DANIELLE BINKS</w:t>
            </w:r>
          </w:p>
        </w:tc>
        <w:tc>
          <w:tcPr>
            <w:tcW w:w="20%" w:type="pct"/>
          </w:tcPr>
          <w:p>
            <w:pPr>
              <w:jc w:val="right"/>
            </w:pPr>
            <w:r>
              <w:rPr>
                <w:sz w:val="22"/>
                <w:rFonts w:ascii="Calibri"/>
              </w:rPr>
              <w:t>$17.99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95%" w:type="pct"/>
          </w:tcPr>
          <w:p>
            <w:r>
              <w:rPr>
                <w:sz w:val="22"/>
                <w:rFonts w:ascii="Calibri"/>
              </w:rPr>
              <w:t>Students are encouraged to purchase the following Stationery Starter Pack for the school year. </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8 128 PAGE A4 BINDER BOOK 8MM RULED</w:t>
            </w:r>
          </w:p>
        </w:tc>
        <w:tc>
          <w:tcPr>
            <w:tcW w:w="20%" w:type="pct"/>
          </w:tcPr>
          <w:p>
            <w:pPr>
              <w:jc w:val="right"/>
            </w:pPr>
            <w:r>
              <w:rPr>
                <w:sz w:val="22"/>
                <w:rFonts w:ascii="Calibri"/>
              </w:rPr>
              <w:t>$13.20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f9c8df14bb7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af9eeb0c446471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f9c8df14bb7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